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AB" w:rsidRDefault="00C662AB" w:rsidP="002E6A2E">
      <w:pPr>
        <w:shd w:val="clear" w:color="auto" w:fill="FFFFFF"/>
        <w:spacing w:after="0" w:line="240" w:lineRule="auto"/>
        <w:rPr>
          <w:rFonts w:eastAsia="Times New Roman" w:cstheme="minorHAnsi"/>
          <w:spacing w:val="8"/>
          <w:lang w:eastAsia="pl-PL"/>
        </w:rPr>
      </w:pPr>
      <w:r>
        <w:rPr>
          <w:rFonts w:eastAsia="Times New Roman" w:cstheme="minorHAnsi"/>
          <w:spacing w:val="8"/>
          <w:lang w:eastAsia="pl-PL"/>
        </w:rPr>
        <w:t>Witam,</w:t>
      </w:r>
    </w:p>
    <w:p w:rsidR="00C662AB" w:rsidRDefault="00C662AB" w:rsidP="002E6A2E">
      <w:pPr>
        <w:shd w:val="clear" w:color="auto" w:fill="FFFFFF"/>
        <w:spacing w:after="0" w:line="240" w:lineRule="auto"/>
        <w:rPr>
          <w:rFonts w:eastAsia="Times New Roman" w:cstheme="minorHAnsi"/>
          <w:spacing w:val="8"/>
          <w:lang w:eastAsia="pl-PL"/>
        </w:rPr>
      </w:pPr>
      <w:r>
        <w:rPr>
          <w:rFonts w:eastAsia="Times New Roman" w:cstheme="minorHAnsi"/>
          <w:spacing w:val="8"/>
          <w:lang w:eastAsia="pl-PL"/>
        </w:rPr>
        <w:t xml:space="preserve">Przed Wami kolejna praca. Należy zrobić ją do 05.06.Przypominam o przysyłaniu prac, zrobieniu sprawdzianu i opracowaniu tematów związanych z „Latarnikiem” H. Sienkiewicza. Pozdrawiam. A. </w:t>
      </w:r>
      <w:proofErr w:type="spellStart"/>
      <w:r>
        <w:rPr>
          <w:rFonts w:eastAsia="Times New Roman" w:cstheme="minorHAnsi"/>
          <w:spacing w:val="8"/>
          <w:lang w:eastAsia="pl-PL"/>
        </w:rPr>
        <w:t>Janaszek</w:t>
      </w:r>
      <w:proofErr w:type="spellEnd"/>
    </w:p>
    <w:p w:rsidR="00C662AB" w:rsidRDefault="00C662AB" w:rsidP="002E6A2E">
      <w:pPr>
        <w:shd w:val="clear" w:color="auto" w:fill="FFFFFF"/>
        <w:spacing w:after="0" w:line="240" w:lineRule="auto"/>
        <w:rPr>
          <w:rFonts w:eastAsia="Times New Roman" w:cstheme="minorHAnsi"/>
          <w:spacing w:val="8"/>
          <w:lang w:eastAsia="pl-PL"/>
        </w:rPr>
      </w:pPr>
      <w:r>
        <w:rPr>
          <w:rFonts w:eastAsia="Times New Roman" w:cstheme="minorHAnsi"/>
          <w:spacing w:val="8"/>
          <w:lang w:eastAsia="pl-PL"/>
        </w:rPr>
        <w:t xml:space="preserve">Pierwszy temat będzie kontynuacją rozpoczętej analizy Inwokacji. </w:t>
      </w:r>
    </w:p>
    <w:p w:rsidR="00C662AB" w:rsidRDefault="00C662AB" w:rsidP="00C662AB">
      <w:pPr>
        <w:pStyle w:val="Akapitzlist"/>
        <w:shd w:val="clear" w:color="auto" w:fill="FFFFFF"/>
        <w:spacing w:after="0" w:line="240" w:lineRule="auto"/>
        <w:rPr>
          <w:rFonts w:eastAsia="Times New Roman" w:cstheme="minorHAnsi"/>
          <w:spacing w:val="8"/>
          <w:lang w:eastAsia="pl-PL"/>
        </w:rPr>
      </w:pPr>
    </w:p>
    <w:p w:rsidR="00C662AB" w:rsidRPr="00C662AB" w:rsidRDefault="00C662AB" w:rsidP="00C662AB">
      <w:pPr>
        <w:pStyle w:val="Akapitzlist"/>
        <w:numPr>
          <w:ilvl w:val="0"/>
          <w:numId w:val="1"/>
        </w:numPr>
        <w:shd w:val="clear" w:color="auto" w:fill="FFFFFF"/>
        <w:spacing w:after="0" w:line="240" w:lineRule="auto"/>
        <w:rPr>
          <w:rFonts w:eastAsia="Times New Roman" w:cstheme="minorHAnsi"/>
          <w:spacing w:val="8"/>
          <w:lang w:eastAsia="pl-PL"/>
        </w:rPr>
      </w:pPr>
      <w:r>
        <w:rPr>
          <w:rFonts w:eastAsia="Times New Roman" w:cstheme="minorHAnsi"/>
          <w:spacing w:val="8"/>
          <w:lang w:eastAsia="pl-PL"/>
        </w:rPr>
        <w:t>Zapoznaj się z zamieszczonymi poniżej informacjami i zrób notatkę w zeszycie.</w:t>
      </w:r>
    </w:p>
    <w:p w:rsidR="00C662AB" w:rsidRDefault="00C662AB" w:rsidP="002E6A2E">
      <w:pPr>
        <w:shd w:val="clear" w:color="auto" w:fill="FFFFFF"/>
        <w:spacing w:after="0" w:line="240" w:lineRule="auto"/>
        <w:rPr>
          <w:rFonts w:eastAsia="Times New Roman" w:cstheme="minorHAnsi"/>
          <w:spacing w:val="8"/>
          <w:lang w:eastAsia="pl-PL"/>
        </w:rPr>
      </w:pPr>
    </w:p>
    <w:p w:rsidR="002E6A2E" w:rsidRPr="002E6A2E" w:rsidRDefault="002E6A2E" w:rsidP="002E6A2E">
      <w:pPr>
        <w:shd w:val="clear" w:color="auto" w:fill="FFFFFF"/>
        <w:spacing w:after="0" w:line="240" w:lineRule="auto"/>
        <w:rPr>
          <w:rFonts w:eastAsia="Times New Roman" w:cstheme="minorHAnsi"/>
          <w:spacing w:val="8"/>
          <w:lang w:eastAsia="pl-PL"/>
        </w:rPr>
      </w:pPr>
      <w:r w:rsidRPr="002E6A2E">
        <w:rPr>
          <w:rFonts w:eastAsia="Times New Roman" w:cstheme="minorHAnsi"/>
          <w:spacing w:val="8"/>
          <w:lang w:eastAsia="pl-PL"/>
        </w:rPr>
        <w:t>Inwokację rozpoczyna, na wzór antyczny, wzniosła apostrofa. Jednakże już tu zaznacza Mickiewicz swoja silną indywidualność, gdyż nie zwraca się do Muzy, ale do Litwy, Ojczyzny oraz w kolejnym, analogicznym zwrocie, do Mat</w:t>
      </w:r>
      <w:r>
        <w:rPr>
          <w:rFonts w:eastAsia="Times New Roman" w:cstheme="minorHAnsi"/>
          <w:spacing w:val="8"/>
          <w:lang w:eastAsia="pl-PL"/>
        </w:rPr>
        <w:t xml:space="preserve">ki Boskiej. </w:t>
      </w:r>
      <w:r w:rsidRPr="002E6A2E">
        <w:rPr>
          <w:rFonts w:eastAsia="Times New Roman" w:cstheme="minorHAnsi"/>
          <w:spacing w:val="8"/>
          <w:lang w:eastAsia="pl-PL"/>
        </w:rPr>
        <w:br/>
      </w:r>
      <w:r w:rsidRPr="002E6A2E">
        <w:rPr>
          <w:rFonts w:eastAsia="Times New Roman" w:cstheme="minorHAnsi"/>
          <w:spacing w:val="8"/>
          <w:lang w:eastAsia="pl-PL"/>
        </w:rPr>
        <w:br/>
        <w:t xml:space="preserve">Następujące po apostrofie do Ojczyzny wersy są nawiązaniem do fraszki Jana Kochanowskiego „Na zdrowie”. Litwa jest tu porównana do zdrowia, które przecież dla każdego człowieka stanowi wartość najważniejszą, ale także taką, której wartość i kruchość oceniamy dopiero po stracie. W takiej sytuacji znajduje się podmiot mówiący </w:t>
      </w:r>
      <w:r w:rsidR="0036404F">
        <w:rPr>
          <w:rFonts w:eastAsia="Times New Roman" w:cstheme="minorHAnsi"/>
          <w:spacing w:val="8"/>
          <w:lang w:eastAsia="pl-PL"/>
        </w:rPr>
        <w:t xml:space="preserve">w tej części </w:t>
      </w:r>
      <w:r w:rsidRPr="002E6A2E">
        <w:rPr>
          <w:rFonts w:eastAsia="Times New Roman" w:cstheme="minorHAnsi"/>
          <w:spacing w:val="8"/>
          <w:lang w:eastAsia="pl-PL"/>
        </w:rPr>
        <w:t>tekstu. Z dala od ojczyzny, nie mogąc do niej powrócić dostrzega on w całej jaskrawości jej piękno i pragnie je utrwalić w strofach poematu.</w:t>
      </w:r>
    </w:p>
    <w:p w:rsidR="002E6A2E" w:rsidRPr="002E6A2E" w:rsidRDefault="002E6A2E" w:rsidP="002E6A2E">
      <w:pPr>
        <w:shd w:val="clear" w:color="auto" w:fill="FFFFFF"/>
        <w:spacing w:after="0" w:line="240" w:lineRule="auto"/>
        <w:rPr>
          <w:rFonts w:eastAsia="Times New Roman" w:cstheme="minorHAnsi"/>
          <w:spacing w:val="8"/>
          <w:lang w:eastAsia="pl-PL"/>
        </w:rPr>
      </w:pPr>
      <w:r>
        <w:rPr>
          <w:rFonts w:eastAsia="Times New Roman" w:cstheme="minorHAnsi"/>
          <w:spacing w:val="8"/>
          <w:lang w:eastAsia="pl-PL"/>
        </w:rPr>
        <w:br/>
      </w:r>
      <w:r w:rsidRPr="002E6A2E">
        <w:rPr>
          <w:rFonts w:eastAsia="Times New Roman" w:cstheme="minorHAnsi"/>
          <w:spacing w:val="8"/>
          <w:lang w:eastAsia="pl-PL"/>
        </w:rPr>
        <w:t xml:space="preserve">Po </w:t>
      </w:r>
      <w:proofErr w:type="spellStart"/>
      <w:r w:rsidRPr="002E6A2E">
        <w:rPr>
          <w:rFonts w:eastAsia="Times New Roman" w:cstheme="minorHAnsi"/>
          <w:spacing w:val="8"/>
          <w:lang w:eastAsia="pl-PL"/>
        </w:rPr>
        <w:t>czterowersie</w:t>
      </w:r>
      <w:proofErr w:type="spellEnd"/>
      <w:r w:rsidRPr="002E6A2E">
        <w:rPr>
          <w:rFonts w:eastAsia="Times New Roman" w:cstheme="minorHAnsi"/>
          <w:spacing w:val="8"/>
          <w:lang w:eastAsia="pl-PL"/>
        </w:rPr>
        <w:t xml:space="preserve"> dotyczącym ojczyzny zwraca się poeta do Matki Boskiej, prosząc o patronat nad dziełem i natchnienie. Przy czym nie chodzi tu raczej o natchnienie poetyckie, ale raczej o pomoc w podróży po bolesnych zakątkach pamięci. Znamienny jest fakt, iż zwraca się do Maryi, której kult był w Polsce niezwykle żywy – została przecież koronowana na Królową Polski. Realia tego kultu przedstawia dalej poeta, przywołując najbardziej znane ikonograficzne prz</w:t>
      </w:r>
      <w:r w:rsidR="0036404F">
        <w:rPr>
          <w:rFonts w:eastAsia="Times New Roman" w:cstheme="minorHAnsi"/>
          <w:spacing w:val="8"/>
          <w:lang w:eastAsia="pl-PL"/>
        </w:rPr>
        <w:t>edstawienia Najświętszej Panny</w:t>
      </w:r>
      <w:r w:rsidRPr="002E6A2E">
        <w:rPr>
          <w:rFonts w:eastAsia="Times New Roman" w:cstheme="minorHAnsi"/>
          <w:spacing w:val="8"/>
          <w:lang w:eastAsia="pl-PL"/>
        </w:rPr>
        <w:t>. Są to kolejno obrazy Matki Boskiej Częstochowskiej – czczonej szczególnie w Koronie, Ostrobramskiej – charakterystycznej dla kultu maryjnego na Litwie oraz patronkę nowogródzką – jak wyjaśnia Stanisław Pigoń, chodzi o obraz z nieistniejącej dziś cerkwi na Górze Zamkowej.</w:t>
      </w:r>
      <w:r w:rsidRPr="002E6A2E">
        <w:rPr>
          <w:rFonts w:eastAsia="Times New Roman" w:cstheme="minorHAnsi"/>
          <w:spacing w:val="8"/>
          <w:lang w:eastAsia="pl-PL"/>
        </w:rPr>
        <w:br/>
      </w:r>
      <w:r w:rsidRPr="002E6A2E">
        <w:rPr>
          <w:rFonts w:eastAsia="Times New Roman" w:cstheme="minorHAnsi"/>
          <w:spacing w:val="8"/>
          <w:lang w:eastAsia="pl-PL"/>
        </w:rPr>
        <w:br/>
        <w:t>W kolejnych wersach podmiot mówiący relacjonuje cudowne ozdrowienie jego osoby, jakie dokonało się, gdy jako dziecko został ofiarowany w piekę Matce Bożej. Fakt ten ma potwierdzenie w biografii Mickiewicza, który będąc dzieckiem, wypadł z okna i bliski śmierci ozdrowiał dzięki opiece Maryi. Przywołując ten kontekst, ponawia wymowę owej dziecięcej wiary w opiekuńczość i miłosierdzie Bożej Rodzicielki i zwraca się z prośbą, ale dość kategorycznie brzmiącą: </w:t>
      </w:r>
      <w:r w:rsidRPr="002E6A2E">
        <w:rPr>
          <w:rFonts w:eastAsia="Times New Roman" w:cstheme="minorHAnsi"/>
          <w:i/>
          <w:iCs/>
          <w:spacing w:val="8"/>
          <w:lang w:eastAsia="pl-PL"/>
        </w:rPr>
        <w:t>Tak nas powrócisz cudem na ojczyzny łono. </w:t>
      </w:r>
      <w:r w:rsidRPr="002E6A2E">
        <w:rPr>
          <w:rFonts w:eastAsia="Times New Roman" w:cstheme="minorHAnsi"/>
          <w:spacing w:val="8"/>
          <w:lang w:eastAsia="pl-PL"/>
        </w:rPr>
        <w:t>Jest to jedn</w:t>
      </w:r>
      <w:r>
        <w:rPr>
          <w:rFonts w:eastAsia="Times New Roman" w:cstheme="minorHAnsi"/>
          <w:spacing w:val="8"/>
          <w:lang w:eastAsia="pl-PL"/>
        </w:rPr>
        <w:t>ak plan</w:t>
      </w:r>
      <w:r w:rsidRPr="002E6A2E">
        <w:rPr>
          <w:rFonts w:eastAsia="Times New Roman" w:cstheme="minorHAnsi"/>
          <w:spacing w:val="8"/>
          <w:lang w:eastAsia="pl-PL"/>
        </w:rPr>
        <w:t xml:space="preserve"> długofalowy, odsunięty poprzez kolejne wersy w nieokreśloną przyszłość. Zaś „tymczasem” chce chociażby myślami znaleźć się w ojczyźnie, wśród</w:t>
      </w:r>
      <w:r>
        <w:rPr>
          <w:rFonts w:eastAsia="Times New Roman" w:cstheme="minorHAnsi"/>
          <w:spacing w:val="8"/>
          <w:lang w:eastAsia="pl-PL"/>
        </w:rPr>
        <w:t xml:space="preserve"> </w:t>
      </w:r>
      <w:r w:rsidRPr="002E6A2E">
        <w:rPr>
          <w:rFonts w:eastAsia="Times New Roman" w:cstheme="minorHAnsi"/>
          <w:b/>
          <w:bCs/>
          <w:spacing w:val="8"/>
          <w:lang w:eastAsia="pl-PL"/>
        </w:rPr>
        <w:t>tych pagórków leśnych / (…) tych łąk zielonych”.</w:t>
      </w:r>
    </w:p>
    <w:p w:rsidR="002E6A2E" w:rsidRPr="002E6A2E" w:rsidRDefault="002E6A2E" w:rsidP="002E6A2E">
      <w:pPr>
        <w:shd w:val="clear" w:color="auto" w:fill="FFFFFF"/>
        <w:spacing w:after="0" w:line="240" w:lineRule="auto"/>
        <w:rPr>
          <w:rFonts w:eastAsia="Times New Roman" w:cstheme="minorHAnsi"/>
          <w:b/>
          <w:bCs/>
          <w:spacing w:val="8"/>
          <w:lang w:eastAsia="pl-PL"/>
        </w:rPr>
      </w:pPr>
      <w:r>
        <w:rPr>
          <w:rFonts w:eastAsia="Times New Roman" w:cstheme="minorHAnsi"/>
          <w:b/>
          <w:bCs/>
          <w:spacing w:val="8"/>
          <w:lang w:eastAsia="pl-PL"/>
        </w:rPr>
        <w:br/>
      </w:r>
      <w:r w:rsidRPr="002E6A2E">
        <w:rPr>
          <w:rFonts w:eastAsia="Times New Roman" w:cstheme="minorHAnsi"/>
          <w:b/>
          <w:bCs/>
          <w:spacing w:val="8"/>
          <w:lang w:eastAsia="pl-PL"/>
        </w:rPr>
        <w:t>Inwokacja stanowi liryczną zapowiedź wątków rozwijanych w dalszych partiach poematu. Wskazuje także w pewien sposób na genezę poe</w:t>
      </w:r>
      <w:r w:rsidR="0036404F">
        <w:rPr>
          <w:rFonts w:eastAsia="Times New Roman" w:cstheme="minorHAnsi"/>
          <w:b/>
          <w:bCs/>
          <w:spacing w:val="8"/>
          <w:lang w:eastAsia="pl-PL"/>
        </w:rPr>
        <w:t>matu, gdyż przedstawia</w:t>
      </w:r>
      <w:r w:rsidRPr="002E6A2E">
        <w:rPr>
          <w:rFonts w:eastAsia="Times New Roman" w:cstheme="minorHAnsi"/>
          <w:b/>
          <w:bCs/>
          <w:spacing w:val="8"/>
          <w:lang w:eastAsia="pl-PL"/>
        </w:rPr>
        <w:t xml:space="preserve"> sam początek procesu twórczego. Pozwala również przyjąć odpowiednią postawę wobec dzieła – wiemy, że będą to wspomnienia, a więc wydarzenia należy postrzegać jako minione</w:t>
      </w:r>
      <w:r>
        <w:rPr>
          <w:rFonts w:eastAsia="Times New Roman" w:cstheme="minorHAnsi"/>
          <w:b/>
          <w:bCs/>
          <w:spacing w:val="8"/>
          <w:lang w:eastAsia="pl-PL"/>
        </w:rPr>
        <w:t xml:space="preserve"> wobec sytuacji narracyjnej. </w:t>
      </w:r>
    </w:p>
    <w:p w:rsidR="002E6A2E" w:rsidRPr="002E6A2E" w:rsidRDefault="002E6A2E" w:rsidP="002E6A2E">
      <w:pPr>
        <w:spacing w:after="0" w:line="240" w:lineRule="auto"/>
        <w:jc w:val="center"/>
        <w:rPr>
          <w:rFonts w:eastAsia="Times New Roman" w:cstheme="minorHAnsi"/>
          <w:lang w:eastAsia="pl-PL"/>
        </w:rPr>
      </w:pPr>
    </w:p>
    <w:p w:rsidR="00BB6D07" w:rsidRDefault="0036404F" w:rsidP="002E6A2E">
      <w:pPr>
        <w:spacing w:line="240" w:lineRule="auto"/>
        <w:rPr>
          <w:rFonts w:cstheme="minorHAnsi"/>
          <w:spacing w:val="8"/>
          <w:shd w:val="clear" w:color="auto" w:fill="FFFFFF"/>
        </w:rPr>
      </w:pPr>
      <w:r>
        <w:rPr>
          <w:rFonts w:cstheme="minorHAnsi"/>
          <w:spacing w:val="8"/>
          <w:shd w:val="clear" w:color="auto" w:fill="FFFFFF"/>
        </w:rPr>
        <w:t xml:space="preserve">Może zastanawiacie się, dlaczego </w:t>
      </w:r>
      <w:r w:rsidR="002E6A2E" w:rsidRPr="002E6A2E">
        <w:rPr>
          <w:rFonts w:cstheme="minorHAnsi"/>
          <w:spacing w:val="8"/>
          <w:shd w:val="clear" w:color="auto" w:fill="FFFFFF"/>
        </w:rPr>
        <w:t xml:space="preserve">największy polski poemat, epopeja narodowa rozpoczyna się podniosłym </w:t>
      </w:r>
      <w:r>
        <w:rPr>
          <w:rFonts w:cstheme="minorHAnsi"/>
          <w:spacing w:val="8"/>
          <w:shd w:val="clear" w:color="auto" w:fill="FFFFFF"/>
        </w:rPr>
        <w:t>zwrotem do Litwy. Jest to</w:t>
      </w:r>
      <w:r w:rsidR="002E6A2E" w:rsidRPr="002E6A2E">
        <w:rPr>
          <w:rFonts w:cstheme="minorHAnsi"/>
          <w:spacing w:val="8"/>
          <w:shd w:val="clear" w:color="auto" w:fill="FFFFFF"/>
        </w:rPr>
        <w:t xml:space="preserve"> umotywowane zarówno historycznie (Litwa była częścią Rzeczpospolitej Obojga Narodów), jak i uczu</w:t>
      </w:r>
      <w:r>
        <w:rPr>
          <w:rFonts w:cstheme="minorHAnsi"/>
          <w:spacing w:val="8"/>
          <w:shd w:val="clear" w:color="auto" w:fill="FFFFFF"/>
        </w:rPr>
        <w:t>ciowo (chodzi o</w:t>
      </w:r>
      <w:r w:rsidR="002E6A2E" w:rsidRPr="002E6A2E">
        <w:rPr>
          <w:rFonts w:cstheme="minorHAnsi"/>
          <w:spacing w:val="8"/>
          <w:shd w:val="clear" w:color="auto" w:fill="FFFFFF"/>
        </w:rPr>
        <w:t xml:space="preserve"> rodzimy, lokalny patriotyzm Mickiewicza).</w:t>
      </w:r>
    </w:p>
    <w:p w:rsidR="00C662AB" w:rsidRDefault="00C662AB" w:rsidP="002E6A2E">
      <w:pPr>
        <w:spacing w:line="240" w:lineRule="auto"/>
        <w:rPr>
          <w:rFonts w:cstheme="minorHAnsi"/>
          <w:spacing w:val="8"/>
          <w:shd w:val="clear" w:color="auto" w:fill="FFFFFF"/>
        </w:rPr>
      </w:pPr>
    </w:p>
    <w:p w:rsidR="00C662AB" w:rsidRDefault="00C662AB" w:rsidP="002E6A2E">
      <w:pPr>
        <w:spacing w:line="240" w:lineRule="auto"/>
        <w:rPr>
          <w:rFonts w:cstheme="minorHAnsi"/>
          <w:spacing w:val="8"/>
          <w:shd w:val="clear" w:color="auto" w:fill="FFFFFF"/>
        </w:rPr>
      </w:pPr>
      <w:r>
        <w:rPr>
          <w:rFonts w:cstheme="minorHAnsi"/>
          <w:spacing w:val="8"/>
          <w:shd w:val="clear" w:color="auto" w:fill="FFFFFF"/>
        </w:rPr>
        <w:lastRenderedPageBreak/>
        <w:t>Ważne jest również przypomnienie biografii twórcy „Pana Tadeusza”.</w:t>
      </w:r>
    </w:p>
    <w:p w:rsidR="0036404F" w:rsidRPr="00C662AB" w:rsidRDefault="0036404F" w:rsidP="0036404F">
      <w:pPr>
        <w:pStyle w:val="NormalnyWeb"/>
        <w:shd w:val="clear" w:color="auto" w:fill="FFFFFF"/>
        <w:spacing w:before="0" w:beforeAutospacing="0"/>
        <w:jc w:val="both"/>
        <w:rPr>
          <w:rFonts w:asciiTheme="minorHAnsi" w:hAnsiTheme="minorHAnsi" w:cstheme="minorHAnsi"/>
          <w:sz w:val="22"/>
          <w:szCs w:val="22"/>
        </w:rPr>
      </w:pPr>
      <w:r w:rsidRPr="00C662AB">
        <w:rPr>
          <w:rStyle w:val="Pogrubienie"/>
          <w:rFonts w:asciiTheme="minorHAnsi" w:hAnsiTheme="minorHAnsi" w:cstheme="minorHAnsi"/>
          <w:sz w:val="22"/>
          <w:szCs w:val="22"/>
        </w:rPr>
        <w:t>Adam Mickiewicz</w:t>
      </w:r>
      <w:r w:rsidRPr="00C662AB">
        <w:rPr>
          <w:rFonts w:asciiTheme="minorHAnsi" w:hAnsiTheme="minorHAnsi" w:cstheme="minorHAnsi"/>
          <w:sz w:val="22"/>
          <w:szCs w:val="22"/>
        </w:rPr>
        <w:t> (1798-1855) – polski poeta, działacz polityczny, uznawany za wieszcza narodowego. Adam Mickiewicz urodził się 24 grudnia 1798 w Zaosiu lub Nowogródku w rodzinie adwokata sądowego, wywodzącego się ze szlachty zaściankowej. Jednym z formacyjnych doświadczeń jego młodości było obserwowanie przemarszu armii </w:t>
      </w:r>
      <w:hyperlink r:id="rId6" w:tgtFrame="_blank" w:history="1">
        <w:r w:rsidRPr="00C662AB">
          <w:rPr>
            <w:rStyle w:val="Hipercze"/>
            <w:rFonts w:asciiTheme="minorHAnsi" w:hAnsiTheme="minorHAnsi" w:cstheme="minorHAnsi"/>
            <w:color w:val="auto"/>
            <w:sz w:val="22"/>
            <w:szCs w:val="22"/>
            <w:u w:val="none"/>
          </w:rPr>
          <w:t>Napoleona</w:t>
        </w:r>
      </w:hyperlink>
      <w:r w:rsidRPr="00C662AB">
        <w:rPr>
          <w:rFonts w:asciiTheme="minorHAnsi" w:hAnsiTheme="minorHAnsi" w:cstheme="minorHAnsi"/>
          <w:sz w:val="22"/>
          <w:szCs w:val="22"/>
        </w:rPr>
        <w:t> na Moskwę. Najpierw widział triumfalny pochód, który niósł nadzieję na koniec niewoli, później patrzył na niedobitki pokonane przez Rosjan.</w:t>
      </w:r>
    </w:p>
    <w:p w:rsidR="0036404F" w:rsidRPr="00C662AB" w:rsidRDefault="0036404F" w:rsidP="0036404F">
      <w:pPr>
        <w:pStyle w:val="NormalnyWeb"/>
        <w:shd w:val="clear" w:color="auto" w:fill="FFFFFF"/>
        <w:spacing w:before="0" w:beforeAutospacing="0"/>
        <w:jc w:val="both"/>
        <w:rPr>
          <w:rFonts w:asciiTheme="minorHAnsi" w:hAnsiTheme="minorHAnsi" w:cstheme="minorHAnsi"/>
          <w:sz w:val="22"/>
          <w:szCs w:val="22"/>
        </w:rPr>
      </w:pPr>
      <w:r w:rsidRPr="00C662AB">
        <w:rPr>
          <w:rFonts w:asciiTheme="minorHAnsi" w:hAnsiTheme="minorHAnsi" w:cstheme="minorHAnsi"/>
          <w:sz w:val="22"/>
          <w:szCs w:val="22"/>
        </w:rPr>
        <w:t>W 1815 roku wyjechał na studia do Wilna, gdzie zaangażował się w działalność patriotyczną, tworząc Towarzystwo Filomatów. Pod koniec lat dwudziestych XIX wieku poznał swoją wielką miłość – Marylę Wereszczakównę. Ze względu na trudną sytuację materialną Mickiewicza, rodzice panny wymogli na niej ślub z innym, lepiej sytuowanym kandydatem. Za działalność patriotyczną Mickiewicz został zesłany w głąb Rosji. W 1829 roku zaczął podróżować po Europie.</w:t>
      </w:r>
    </w:p>
    <w:p w:rsidR="0036404F" w:rsidRPr="00C662AB" w:rsidRDefault="0036404F" w:rsidP="0036404F">
      <w:pPr>
        <w:pStyle w:val="NormalnyWeb"/>
        <w:shd w:val="clear" w:color="auto" w:fill="FFFFFF"/>
        <w:spacing w:before="0" w:beforeAutospacing="0"/>
        <w:jc w:val="both"/>
        <w:rPr>
          <w:rFonts w:asciiTheme="minorHAnsi" w:hAnsiTheme="minorHAnsi" w:cstheme="minorHAnsi"/>
          <w:sz w:val="22"/>
          <w:szCs w:val="22"/>
        </w:rPr>
      </w:pPr>
      <w:r w:rsidRPr="00C662AB">
        <w:rPr>
          <w:rFonts w:asciiTheme="minorHAnsi" w:hAnsiTheme="minorHAnsi" w:cstheme="minorHAnsi"/>
          <w:sz w:val="22"/>
          <w:szCs w:val="22"/>
        </w:rPr>
        <w:t>W 1831 roku chciał wrócić do kraju, w którym szalało powstanie, ostatecznie jednak granicy nie przekroczył i pozostał w Dreźnie. Stamtąd wyruszył do Paryża, gdzie osiadł na stałe i ożenił się z Celiną Szymanowską, z którą miał szóstkę dzieci. W stolicy Francji podjął karierę akademicką, wykładając między innymi języki słowiańskie (na te wykłady uczęszczała między innymi George Sand). Mickiewicz stał się czołowym przedstawicielem tzw. Wielkiej Emigracji.</w:t>
      </w:r>
    </w:p>
    <w:p w:rsidR="0036404F" w:rsidRDefault="0036404F" w:rsidP="0036404F">
      <w:pPr>
        <w:pStyle w:val="NormalnyWeb"/>
        <w:shd w:val="clear" w:color="auto" w:fill="FFFFFF"/>
        <w:spacing w:before="0" w:beforeAutospacing="0"/>
        <w:jc w:val="both"/>
        <w:rPr>
          <w:rFonts w:asciiTheme="minorHAnsi" w:hAnsiTheme="minorHAnsi" w:cstheme="minorHAnsi"/>
          <w:sz w:val="22"/>
          <w:szCs w:val="22"/>
        </w:rPr>
      </w:pPr>
      <w:r w:rsidRPr="00C662AB">
        <w:rPr>
          <w:rFonts w:asciiTheme="minorHAnsi" w:hAnsiTheme="minorHAnsi" w:cstheme="minorHAnsi"/>
          <w:sz w:val="22"/>
          <w:szCs w:val="22"/>
        </w:rPr>
        <w:t xml:space="preserve">W czasie Wiosny Ludów utworzył w Rzymie legion polski w służbie walczącej Lombardii. Ostatni zryw patriotyczny poety nastąpił po przyłączeniu się Francji do wojny krymskiej. Wieszcz wyruszył wówczas do Konstantynopola, gdzie przystąpił do formowania polskich i żydowskich oddziałów (Legion Polski, Legion Żydowski) do walki z Rosją. Zmarł nagle w 1855 roku w czasie epidemii cholery. Jego ciało przetransportowano do Francji i pochowano na największej polskiej nekropolii w </w:t>
      </w:r>
      <w:proofErr w:type="spellStart"/>
      <w:r w:rsidRPr="00C662AB">
        <w:rPr>
          <w:rFonts w:asciiTheme="minorHAnsi" w:hAnsiTheme="minorHAnsi" w:cstheme="minorHAnsi"/>
          <w:sz w:val="22"/>
          <w:szCs w:val="22"/>
        </w:rPr>
        <w:t>Montmorency</w:t>
      </w:r>
      <w:proofErr w:type="spellEnd"/>
      <w:r w:rsidRPr="00C662AB">
        <w:rPr>
          <w:rFonts w:asciiTheme="minorHAnsi" w:hAnsiTheme="minorHAnsi" w:cstheme="minorHAnsi"/>
          <w:sz w:val="22"/>
          <w:szCs w:val="22"/>
        </w:rPr>
        <w:t>, a w 1890 roku przeniesiono do Polski i pochowano na Wawelu.</w:t>
      </w:r>
    </w:p>
    <w:p w:rsidR="005260A7" w:rsidRDefault="005260A7" w:rsidP="005260A7">
      <w:pPr>
        <w:pStyle w:val="NormalnyWeb"/>
        <w:numPr>
          <w:ilvl w:val="0"/>
          <w:numId w:val="1"/>
        </w:numPr>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Wykonaj  w całości ćw. 5/328 oraz przepisz do zeszytu definicję  z tej samej strony.</w:t>
      </w:r>
    </w:p>
    <w:p w:rsidR="005260A7" w:rsidRDefault="005260A7" w:rsidP="005260A7">
      <w:pPr>
        <w:pStyle w:val="NormalnyWeb"/>
        <w:shd w:val="clear" w:color="auto" w:fill="FFFFFF"/>
        <w:spacing w:before="0" w:beforeAutospacing="0"/>
        <w:jc w:val="both"/>
        <w:rPr>
          <w:rFonts w:asciiTheme="minorHAnsi" w:hAnsiTheme="minorHAnsi" w:cstheme="minorHAnsi"/>
          <w:b/>
          <w:sz w:val="22"/>
          <w:szCs w:val="22"/>
        </w:rPr>
      </w:pPr>
      <w:r>
        <w:rPr>
          <w:rFonts w:asciiTheme="minorHAnsi" w:hAnsiTheme="minorHAnsi" w:cstheme="minorHAnsi"/>
          <w:b/>
          <w:sz w:val="22"/>
          <w:szCs w:val="22"/>
        </w:rPr>
        <w:t>Sugestia i aluzja – komunikacja nie wprost.</w:t>
      </w:r>
    </w:p>
    <w:p w:rsidR="005260A7" w:rsidRDefault="005260A7" w:rsidP="005260A7">
      <w:pPr>
        <w:pStyle w:val="NormalnyWeb"/>
        <w:numPr>
          <w:ilvl w:val="0"/>
          <w:numId w:val="2"/>
        </w:numPr>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Wykonaj ustnie ćw. 1,2,3/328, 329, 330 oraz przepisz do zeszytu definicję z zielonej ramki.</w:t>
      </w:r>
    </w:p>
    <w:p w:rsidR="005260A7" w:rsidRPr="005260A7" w:rsidRDefault="005260A7" w:rsidP="005260A7">
      <w:pPr>
        <w:pStyle w:val="NormalnyWeb"/>
        <w:numPr>
          <w:ilvl w:val="0"/>
          <w:numId w:val="2"/>
        </w:numPr>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Napisz krótki dialog, w którym zastosujesz sugestię lub aluzję. Możesz wykorzystać sytuacje podane w ćw. 5/330.</w:t>
      </w:r>
      <w:bookmarkStart w:id="0" w:name="_GoBack"/>
      <w:bookmarkEnd w:id="0"/>
    </w:p>
    <w:p w:rsidR="0036404F" w:rsidRPr="0036404F" w:rsidRDefault="0036404F" w:rsidP="0036404F">
      <w:pPr>
        <w:spacing w:line="240" w:lineRule="auto"/>
        <w:rPr>
          <w:rFonts w:cstheme="minorHAnsi"/>
        </w:rPr>
      </w:pPr>
    </w:p>
    <w:sectPr w:rsidR="0036404F" w:rsidRPr="00364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92"/>
    <w:multiLevelType w:val="hybridMultilevel"/>
    <w:tmpl w:val="D61EF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94724C"/>
    <w:multiLevelType w:val="hybridMultilevel"/>
    <w:tmpl w:val="9D368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B"/>
    <w:rsid w:val="000B11CB"/>
    <w:rsid w:val="002E6A2E"/>
    <w:rsid w:val="0036404F"/>
    <w:rsid w:val="005260A7"/>
    <w:rsid w:val="00BB6D07"/>
    <w:rsid w:val="00C6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A2E"/>
    <w:rPr>
      <w:rFonts w:ascii="Tahoma" w:hAnsi="Tahoma" w:cs="Tahoma"/>
      <w:sz w:val="16"/>
      <w:szCs w:val="16"/>
    </w:rPr>
  </w:style>
  <w:style w:type="paragraph" w:styleId="NormalnyWeb">
    <w:name w:val="Normal (Web)"/>
    <w:basedOn w:val="Normalny"/>
    <w:uiPriority w:val="99"/>
    <w:semiHidden/>
    <w:unhideWhenUsed/>
    <w:rsid w:val="00364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404F"/>
    <w:rPr>
      <w:b/>
      <w:bCs/>
    </w:rPr>
  </w:style>
  <w:style w:type="character" w:styleId="Hipercze">
    <w:name w:val="Hyperlink"/>
    <w:basedOn w:val="Domylnaczcionkaakapitu"/>
    <w:uiPriority w:val="99"/>
    <w:semiHidden/>
    <w:unhideWhenUsed/>
    <w:rsid w:val="0036404F"/>
    <w:rPr>
      <w:color w:val="0000FF"/>
      <w:u w:val="single"/>
    </w:rPr>
  </w:style>
  <w:style w:type="paragraph" w:styleId="Akapitzlist">
    <w:name w:val="List Paragraph"/>
    <w:basedOn w:val="Normalny"/>
    <w:uiPriority w:val="34"/>
    <w:qFormat/>
    <w:rsid w:val="00C66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A2E"/>
    <w:rPr>
      <w:rFonts w:ascii="Tahoma" w:hAnsi="Tahoma" w:cs="Tahoma"/>
      <w:sz w:val="16"/>
      <w:szCs w:val="16"/>
    </w:rPr>
  </w:style>
  <w:style w:type="paragraph" w:styleId="NormalnyWeb">
    <w:name w:val="Normal (Web)"/>
    <w:basedOn w:val="Normalny"/>
    <w:uiPriority w:val="99"/>
    <w:semiHidden/>
    <w:unhideWhenUsed/>
    <w:rsid w:val="00364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404F"/>
    <w:rPr>
      <w:b/>
      <w:bCs/>
    </w:rPr>
  </w:style>
  <w:style w:type="character" w:styleId="Hipercze">
    <w:name w:val="Hyperlink"/>
    <w:basedOn w:val="Domylnaczcionkaakapitu"/>
    <w:uiPriority w:val="99"/>
    <w:semiHidden/>
    <w:unhideWhenUsed/>
    <w:rsid w:val="0036404F"/>
    <w:rPr>
      <w:color w:val="0000FF"/>
      <w:u w:val="single"/>
    </w:rPr>
  </w:style>
  <w:style w:type="paragraph" w:styleId="Akapitzlist">
    <w:name w:val="List Paragraph"/>
    <w:basedOn w:val="Normalny"/>
    <w:uiPriority w:val="34"/>
    <w:qFormat/>
    <w:rsid w:val="00C6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5799">
      <w:bodyDiv w:val="1"/>
      <w:marLeft w:val="0"/>
      <w:marRight w:val="0"/>
      <w:marTop w:val="0"/>
      <w:marBottom w:val="0"/>
      <w:divBdr>
        <w:top w:val="none" w:sz="0" w:space="0" w:color="auto"/>
        <w:left w:val="none" w:sz="0" w:space="0" w:color="auto"/>
        <w:bottom w:val="none" w:sz="0" w:space="0" w:color="auto"/>
        <w:right w:val="none" w:sz="0" w:space="0" w:color="auto"/>
      </w:divBdr>
      <w:divsChild>
        <w:div w:id="1350063915">
          <w:marLeft w:val="450"/>
          <w:marRight w:val="0"/>
          <w:marTop w:val="0"/>
          <w:marBottom w:val="0"/>
          <w:divBdr>
            <w:top w:val="none" w:sz="0" w:space="0" w:color="auto"/>
            <w:left w:val="none" w:sz="0" w:space="0" w:color="auto"/>
            <w:bottom w:val="none" w:sz="0" w:space="0" w:color="auto"/>
            <w:right w:val="none" w:sz="0" w:space="0" w:color="auto"/>
          </w:divBdr>
          <w:divsChild>
            <w:div w:id="386993751">
              <w:marLeft w:val="0"/>
              <w:marRight w:val="150"/>
              <w:marTop w:val="300"/>
              <w:marBottom w:val="420"/>
              <w:divBdr>
                <w:top w:val="none" w:sz="0" w:space="0" w:color="auto"/>
                <w:left w:val="none" w:sz="0" w:space="0" w:color="auto"/>
                <w:bottom w:val="none" w:sz="0" w:space="0" w:color="auto"/>
                <w:right w:val="none" w:sz="0" w:space="0" w:color="auto"/>
              </w:divBdr>
            </w:div>
            <w:div w:id="978732943">
              <w:marLeft w:val="0"/>
              <w:marRight w:val="150"/>
              <w:marTop w:val="300"/>
              <w:marBottom w:val="420"/>
              <w:divBdr>
                <w:top w:val="none" w:sz="0" w:space="0" w:color="auto"/>
                <w:left w:val="none" w:sz="0" w:space="0" w:color="auto"/>
                <w:bottom w:val="none" w:sz="0" w:space="0" w:color="auto"/>
                <w:right w:val="none" w:sz="0" w:space="0" w:color="auto"/>
              </w:divBdr>
            </w:div>
          </w:divsChild>
        </w:div>
      </w:divsChild>
    </w:div>
    <w:div w:id="8908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kawostkihistoryczne.pl/leksykon/napoleon-bonaparte-1769-1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800</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2020-06-03T10:27:00Z</dcterms:created>
  <dcterms:modified xsi:type="dcterms:W3CDTF">2020-06-03T11:23:00Z</dcterms:modified>
</cp:coreProperties>
</file>